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27853E1F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 xml:space="preserve">Il modulo potrà essere inviato tramite raccomandata all’indirizzo </w:t>
      </w:r>
      <w:r w:rsidR="00D10EB4" w:rsidRPr="00D10EB4">
        <w:rPr>
          <w:rFonts w:ascii="Times New Roman" w:hAnsi="Times New Roman" w:cs="Times New Roman"/>
          <w:sz w:val="24"/>
          <w:szCs w:val="24"/>
        </w:rPr>
        <w:t>Via Ambrosetti, 26/A - 13900 Biella (BI)</w:t>
      </w:r>
      <w:r w:rsidRPr="00BC32B6">
        <w:rPr>
          <w:rFonts w:ascii="Times New Roman" w:hAnsi="Times New Roman" w:cs="Times New Roman"/>
          <w:sz w:val="24"/>
          <w:szCs w:val="24"/>
        </w:rPr>
        <w:t>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</w:t>
      </w:r>
      <w:r w:rsidRPr="00A64D55">
        <w:rPr>
          <w:rFonts w:ascii="Times New Roman" w:hAnsi="Times New Roman" w:cs="Times New Roman"/>
          <w:sz w:val="24"/>
          <w:szCs w:val="24"/>
        </w:rPr>
        <w:lastRenderedPageBreak/>
        <w:t>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B04C9"/>
    <w:rsid w:val="00BC32B6"/>
    <w:rsid w:val="00C3733D"/>
    <w:rsid w:val="00D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2022-05-30T09:10:00Z</dcterms:created>
  <dcterms:modified xsi:type="dcterms:W3CDTF">2022-05-30T09:10:00Z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